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7 vom 24. Februar 2025</w:t>
      </w:r>
    </w:p>
    <w:p>
      <w:r>
        <w:t>VS Kantonsgericht, 2025-02-24, FR</w:t>
      </w:r>
    </w:p>
    <w:p>
      <w:r>
        <w:rPr>
          <w:b/>
        </w:rPr>
        <w:t xml:space="preserve">Quelle: </w:t>
      </w:r>
      <w:r>
        <w:t>https://mcp.opencaselaw.ch/entscheid/vs_gerichte_F1 24 7</w:t>
      </w:r>
    </w:p>
    <w:p>
      <w:r>
        <w:t>FR: VS_GERICHTE F1 24 7 du 24 février 2025</w:t>
      </w:r>
    </w:p>
    <w:p>
      <w:r>
        <w:t>IT: VS_GERICHTE F1 24 7 del 24 febbraio 2025</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et art. 8 LALIFD). Il lui appartient par conséquent de statuer sur le recours du 14 avril 2021,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w:t>
      </w:r>
    </w:p>
    <w:p>
      <w:r>
        <w:rPr>
          <w:b/>
        </w:rPr>
        <w:t>E. 1.3</w:t>
      </w:r>
    </w:p>
    <w:p>
      <w:r>
        <w:t>Le SCC a produit son dossier. La requête correspondante de la recourante est ainsi satisfaite. A l’appui de plusieurs de ses allégués, la recourante sollicite, respectivement réserve la déposition des parties. Ainsi qu’il ressort des considérants suivants de l’arrêt, les faits pertinents pour l’issue du litige apparaissent suffisamment établis par pièces. Ces faits ne sont, au demeurant, pour l’essentiel pas contestés, seule leur appréciation juridique étant débattue. Il n’apparaît dès lors pas que l’interrogatoire des parties puisse</w:t>
      </w:r>
    </w:p>
    <w:p>
      <w:r>
        <w:t>- 12 - apporter un éclairage décisif à l’affaire. Cette offre de preuve est donc rejetée par appréciation anticipée de son utilité (art. 81a al. 2 LPJA, art. 80 al. 1 let. d, 56 al. 1 et 17 al. 2 LPJA ; ATF 145 I 167). Pour le reste, l’on relève que la recourante a eu maintes fois l’occasion de se déterminer par écrit au cours de la procédure et que le droit d’être entendu ne confère en principe pas celui de l’être oralement dans les procédures purement fiscales (ATF 140 I 68 consid. 9.6.1). II. Impôt fédéral direct</w:t>
      </w:r>
    </w:p>
    <w:p>
      <w:r>
        <w:rPr>
          <w:b/>
        </w:rPr>
        <w:t>E. 2</w:t>
      </w:r>
    </w:p>
    <w:p>
      <w:r>
        <w:t>La recourante invoque une violation de l’art. 56 let. g LIFD. Se prévalant du fait qu’elle exercerait exclusivement des buts de service public, elle estime remplir les conditions d’une exonération lors des exercices litigieux. Elle pose en la matière une question de principe qu’il y a lieu d’examiner en premier lieu.</w:t>
      </w:r>
    </w:p>
    <w:p>
      <w:r>
        <w:rPr>
          <w:b/>
        </w:rPr>
        <w:t>E. 2.1</w:t>
      </w:r>
    </w:p>
    <w:p>
      <w:r>
        <w:t>Selon l’art. 56 let. g LIFD, les personnes morales poursuivant des buts de service public ou d’utilité publique sont exonérées de l’impôt sur le bénéfice exclusivement et irrévocablement affecté à ces buts (1ère phrase). Des buts économiques ne peuvent être considérés en principe comme étant d’intérêt public (2ème phrase).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(3ème phrase).</w:t>
      </w:r>
    </w:p>
    <w:p>
      <w:r>
        <w:rPr>
          <w:b/>
        </w:rPr>
        <w:t>E. 2.2</w:t>
      </w:r>
    </w:p>
    <w:p>
      <w:r>
        <w:t>Selon la jurisprudence, qui s'est inspirée de la circulaire no 12 du 8 juillet 1994 de l’AFC (« Exonération de l'impôt pour les personnes morales poursuivant des buts de service public ou de pure utilité publique ou des buts cultuels et à la déductibilité des versements bénévoles », Archives 63 p. 130 ss ; ci-après : la Circulaire no 12), l'exonération de l'impôt fédéral direct d'une personne morale au sens de l'art. 56 let. g LIFD suppose en tous les cas la réalisation des trois conditions minimales suivantes : l'activité pour laquelle une exonération est demandée doit s'exercer exclusivement au profit de l'utilité publique ou du bien commun (condition de l'exclusivité de l'utilisation des fonds), les fonds consacrés par la personne morale à la poursuite du but justifiant l'exonération doivent l'être pour toujours (condition de l'irrévocabilité de l'affectation des fonds) et, enfin, l'institution doit mener une activité effectivement respectueuse de ses statuts (condition de l'activité effective ; cf. ATF 147 II 287 consid. 5.2 et consid. 5.2 de l’arrêt du Tribunal fédéral 9C_165/2024 du 28 octobre 2024 destiné à la publication). Hormis ces trois conditions générales, le but de la personne morale doit évidemment encore pouvoir être qualifié « de service public » ou « de pure utilité publique »,</w:t>
      </w:r>
    </w:p>
    <w:p>
      <w:r>
        <w:t>- 13 - conformément au texte de l'art. 56 let. g LIFD, étant précisé que des conditions spécifiques distinctes doivent être remplies à cet égard selon que l'exonération requise est fondée sur l'une ou l'autre de ces hypothèses (ATF 147 II précité consid. 5.2 ; arrêt 9C_165/2024 précité consid. 5.3).</w:t>
      </w:r>
    </w:p>
    <w:p>
      <w:r>
        <w:rPr>
          <w:b/>
        </w:rPr>
        <w:t>E. 2.3</w:t>
      </w:r>
    </w:p>
    <w:p>
      <w:r>
        <w:t>L’exonération fondée sur un but de service public constituant une exception (en raison du principe constitutionnel de la généralité de l’impôt garanti par l’art. 127 al. 2 Cst.), elle doit, sous l’angle systématique, être interprétée de manière restrictive (cf. ATF 146 II 359 consid. 5.2 ; arrêt du Tribunal fédéral 2C_740/2018 du 18 juin 2019 consid. 5.3). Une personne morale poursuit des buts de service public si elle accomplit des tâches étroitement liées aux tâches étatiques (ATF 127 II 113 consid. 6b ; arrêts du Tribunal fédéral 2C_143/2013 du 16 août 2013 consid. 3.2, 2C_383/2010 du 28 décembre 2010 consid. 2.2). Les tâches des collectivités sont multiples et la notion de service public n’est pas immuable, mais varie en fonction de l’évolution des conceptions et des besoins (cf. ATF 146 II précité consid. 5.2). Les buts de service public correspondent aux tâches des collectivités publiques. Ce sont notamment la fourniture par infrastructure fixe de l’eau, du gaz ou de l’électricité, ou encore l’élimination des déchets urbains (URECH in : AUBRY GIRARDIN/NOËL [édit.], Commentaire de la LIFD, 2ème éd. 2017, n° 83 ad art. 56 LIFD). L’exploitation d’un réseau de chaleur, des activités en matière de télécommunications ou d’installation technique sont en revanche considérées comme dépassant le cadre de l’approvisionnement de base et ne devraient plus, pour ce seul motif, être exonérées d’impôts (FLÜCKIGER, Die Steuerbefreiung privatisierter Energiewerke wegen Verfolgung öffentlicher Zwecke bzw. Gemeinnütziger Zwecke, in : ASA 77 p. 449, p. 451 ; cf. ég. BLUM/CAMINADA in : Kommentar zum Aargauer Steuergesetz, 5e éd. 2023, n° 26 ad § 14). Contrairement à ce qu’affirme la recourante, des activités de production ou de négoce d'électricité ne peuvent non plus être incluses dans la notion de service universel (ibidem ; cf. ég. ATF 131 II 1 consid. 3.4.1).</w:t>
      </w:r>
    </w:p>
    <w:p>
      <w:r>
        <w:rPr>
          <w:b/>
        </w:rPr>
        <w:t>E. 2.4</w:t>
      </w:r>
    </w:p>
    <w:p>
      <w:r>
        <w:t>supra). Les documents comptables que la recourante produit céans pour tenter de distinguer ses résultats par activité (cf. pièces nos 21 à 31 annexées au recours) ne lui sont, à cet égard, d’aucun secours, puisqu’ils n’ont pas été audités, ni ne relèvent de sa comptabilité commerciale. Ces documents internes confirment, en revanche, l’ampleur des chiffres d’affaires issus de ses activités prétendument secondaires de vente d’énergie (thermique et électrique) et de valorisations des déchets verts, de même que leur importance croissante au sein de la société.</w:t>
      </w:r>
    </w:p>
    <w:p>
      <w:r>
        <w:rPr>
          <w:b/>
        </w:rPr>
        <w:t>E. 2.5</w:t>
      </w:r>
    </w:p>
    <w:p>
      <w:r>
        <w:t>Dans tous les cas, l’exonération ne peut toutefois être admise que si les buts lucratifs ou d’assistance mutuelle restent subsidiaires ou secondaires par rapport au but principal de service public de la personne morale. Ainsi, une exonération, même partielle, est exclue lorsque la personne morale poursuit des buts lucratifs ou d’assistance mutuelle qui excèdent une certaine mesure (ibidem et ATF 131 II 1 consid. 3.3 et 3.4). Il s’agit en effet, en cas d’activité lucrative, de respecter le principe de neutralité concurrentielle (ATF 146 II 359 précité consid. 5.2 ; RICHNER/FREI/KAUFMANN/ROHNER, Handkommentar zum DBG, 4e éd. 2023, n° 41 ad art. 56 DBG; GRETER/GRETER in : ZWEIFEL/BEUSCH [éd.], Bundesgesetz über die direkten Steuer Bundessteuer [DBG], 2022 nos 38 et 33 ad art. 56 LIFD ; URECH, op. cit., n° 87 ad art. 56 LIFD). Une exonération fiscale ne peut ainsi pas entrer en ligne de compte lorsqu'une entreprise privatisée participe au marché en concurrence avec des privés (SIMONEK, Steuerbefreiung und Privatrisierung in : ST 3/00, p. 232 ; cf. ég. REICH, Geimeinützigkeit als Steuerbefreiungsgrund in : ASA 58 p. 490). Des activités dans le domaine de l’électricité sont sujettes à une certaine concurrence et doivent, partant, respecter la condition de l’absence de but lucratif pour pouvoir être exonérées d’impôts (cf. ATF 131 II précité consid. 4.3 et FLÜCKIGER, op. cit., p. 451 et 456 ss). Le respect du principe de neutralité concurrentielle ne dépend à cet égard pas de la manière dont les bénéfices réalisés par l’activité entrepreneuriale sont utilisés, mais de la mesure dans laquelle les prestations offertes dans le cadre de cette</w:t>
      </w:r>
    </w:p>
    <w:p>
      <w:r>
        <w:t>- 15 - activité entrepreneuriale entrent en concurrence avec celles de personnes assujetties à l’impôt (arrêt du Tribunal fédéral 9C_165/2024 précité consid. 8.3.1 ; cf. ég. RICHNER/FREI/KAUFMANN/ROHNER, op. cit., n° 44 in fine ad art. 56 LIFD). Partant, pour des raisons de neutralité concurrentielle, une exonération fiscale est exclue même si l’intégralité du bénéfice réalisé est affecté au but privilégié fiscalement (ibidem).</w:t>
      </w:r>
    </w:p>
    <w:p>
      <w:r>
        <w:rPr>
          <w:b/>
        </w:rPr>
        <w:t>E. 2.6</w:t>
      </w:r>
    </w:p>
    <w:p>
      <w:r>
        <w:t>Comme pour les faits réduisant l’impôt en général, il incombe à la personne qui la demande de prouver que les conditions de l’exonération fiscale sont remplies (arrêt du Tribunal fédéral 9C_165/2024 précité consid. 5.4), étant précisé que la vérification du respect de ces conditions peut être examinée à chaque période de taxation (ATF 140 II 157 consid. 8).</w:t>
      </w:r>
    </w:p>
    <w:p>
      <w:r>
        <w:rPr>
          <w:b/>
        </w:rPr>
        <w:t>E. 3.1</w:t>
      </w:r>
    </w:p>
    <w:p>
      <w:r>
        <w:t>En l’occurrence, les trois conditions générales de l’exonération (cf. supra consid. 2.2) sont remplies et ne sont pas litigieuses. Il n’est en effet pas contesté que la recourante poursuit effectivement les activités pour lesquelles elle demande à être exonérée d’impôt, ni que les fonds consacrés à la poursuite de ses buts statuaires le sont irrévocablement. Quant à la condition d’exclusivité de l’utilisation des fonds, elle n’est pas non plus contestée en tant que telle. Il reste à déterminer si les conditions spécifiques d’une exonération fondée sur la poursuite d’un but de service public sont également remplies.</w:t>
      </w:r>
    </w:p>
    <w:p>
      <w:r>
        <w:rPr>
          <w:b/>
        </w:rPr>
        <w:t>E. 3.2</w:t>
      </w:r>
    </w:p>
    <w:p>
      <w:r>
        <w:t>La recourante est une société anonyme de droit privé au sens des art. 620 ss CO. Elle n’a pas été constituée par une loi spéciale (cf. art. 763 CO). Son actionnariat est composé de communes et son conseil d’administration compte deux membres désignés par les Conseils d’Etat des cantons concernés, respectivement cinq membres, élus par l’assemblée générale, représentant les communes actionnaires (art. [ ... ] et [ ... ] des statuts de xx.xxxx). L’on pourrait donc considérer que les collectivités publiques intéressées sont en mesure d’exercer une certaine surveillance sur ses activités et ce, bien que la recourante affirme elle-même que les communes ne disposent pas d’un contrôle important sur celles-ci (cf. recours p. 11, ch. 2). Outre les tâches communales qui lui sont déléguées, la société peut exercer toutes les activités énumérées par son but statutaire. Or, force est à cet égard de constater que celui-ci était, lors des périodes fiscales litigieuses, défini très largement (cf. art. [ ... ] des statuts de xx.xxxx). En effet, la société pouvait notamment exercer des activités liées à « la valorisation de la matière et de l’énergie », [ _________ ]. Il s’agit là d’activités à caractère entrepreneurial, allant clairement au-delà du domaine de l’approvisionnement de base, ainsi que des activités typiquement commerciales [ _________ ].</w:t>
      </w:r>
    </w:p>
    <w:p>
      <w:r>
        <w:t>- 16 -</w:t>
      </w:r>
    </w:p>
    <w:p>
      <w:r>
        <w:rPr>
          <w:b/>
        </w:rPr>
        <w:t>E. 3.3</w:t>
      </w:r>
    </w:p>
    <w:p>
      <w:r>
        <w:t>Cela étant, l’activité de la recourante tenant dans l’incinération des déchets urbains provenant des communes actionnaires poursuit, pour sa part, un but de service public. Personne ne le conteste. En vertu de l’art. 31b al. 1 LPE, il appartient en effet aux cantons d’éliminer les déchets urbains (incluant les déchets verts produits par les ménages), de voirie et des stations publiques d’épuration des eaux usées. Cette disposition instaure un monopole d’élimination des déchets urbains, fondé directement sur le droit fédéral et pouvant être délégué aux communes et/ou être concédés à des particuliers (FLÜCKIGER, in : MOOR/FAVRE/FLÜCKIGER [éd.], Loi sur la protection de l’environnement, 2010, n° 3 ad Art. 31b LPE). En droit valaisan, la tâche d’éliminer ces déchets revient plus précisément aux communes (cf. art. 6 al. 1 let. e de la LCo), qui sont libres d’en déléguer l’exécution à des tiers, telle la recourante. Ce sont les autres activités développées par la recourante au cours des dernières années qui ont conduit les autorités fiscales à lui refuser le bénéfice d’une exonération au sens de l’art. 56 let. g LIFD, à savoir celles tenant dans la production et la vente d’énergie au travers du Thermoréseau, dans la production et la vente d’électricité, ainsi que dans la production de biogaz, de compost et de plaquettes de bois issus du traitement de déchets verts. L’on peut à ce propos admettre, avec la recourante, que ces activités s’inscrivent dans le sillage de son but de service public tenant dans l’incinération des déchets urbains puisqu’elles ont été développées en vue de se conformer aux prescriptions légales régissant les installations de traitement thermique des déchets (cf. art. 30h LPE, 27 al. 1 let. d et 32 al. 2 let. a OLED). L’on peut également leur reconnaître une certaine utilité publique en tant qu’elles visent à valoriser les déchets. Cela ne suffit toutefois pas à octroyer une exonération. Pour ce faire, encore faudrait-il que les activités litigieuses ne soient pas exercées à des fins lucratives ou commerciales ou, tout au plus, qu’elles ne le soient que de manière secondaire ou accessoire par rapport au but de service public, ni qu’elles mettent en péril le principe de la neutralité concurrentielle.</w:t>
      </w:r>
    </w:p>
    <w:p>
      <w:r>
        <w:rPr>
          <w:b/>
        </w:rPr>
        <w:t>E. 3.4</w:t>
      </w:r>
    </w:p>
    <w:p>
      <w:r>
        <w:t>La recourante expose que son activité principale demeurerait celle tenant dans l’élimination (par incinération) des déchets. Elle se réfère au détail des éléments imposables annexés aux décisions de taxations définitives du 21 février 2020 selon lesquels cette activité représentait le 52,4% de son chiffre d’affaires en 2015, le 50,7% en 2016, le 46% en 2017 et le 45,7% en 2018. Elle souligne qu’elle a été contrainte de développer ses activités de production d’électricité et de chaleur, le Thermoréseau et le traitement des déchets verts pour se conformer aux prescriptions toujours plus strictes de la législation environnementale en matière de valorisation des déchets et poursuivre,</w:t>
      </w:r>
    </w:p>
    <w:p>
      <w:r>
        <w:t>- 17 - cela étant, l’exploitation de son usine d’incinération. Elle soutient que l’exploitation du Thermoréseau serait déficitaire dans son ensemble, de sorte que cette activité ne pourrait pas être qualifiée de lucrative, que sa construction était indispensable à la poursuite de son activité principale de service public et qu’elle lui a permis d’éviter des partenariats public-privé. Quant à son installation de méthanisation des déchets verts, elle serait également liée à son activité monopolistique principale d’incinération des déchets, dépendrait de mandats que lui confient les communes et générerait un faible bénéfice qu’elle réinvestirait dans ses tâches d’intérêt public. Le même raisonnement devrait à son sens s’appliquer à la vente d’électricité et conduire à l’exonération fiscale de toutes ses activités, lesquelles ne poursuivraient pas un but lucratif, mais serviraient uniquement à ce qu’elle puisse poursuivre son activité principale d’intérêt public. La recourante insiste enfin sur le fait qu’à l’exception du Thermoréseau, tous les bénéfices générés par ses activités, bénéfices dont elle dénie le caractère important ou régulier, seraient réinvestis dans son activité principale de service public.</w:t>
      </w:r>
    </w:p>
    <w:p>
      <w:r>
        <w:rPr>
          <w:b/>
        </w:rPr>
        <w:t>E. 3.5</w:t>
      </w:r>
    </w:p>
    <w:p>
      <w:r>
        <w:t>A l’aune de la jurisprudence rappelée ci-dessus, le raisonnement de la recourante et les conclusions qu’elle en tire en terme d’exonération fiscale ne peuvent pas être suivis. Les activités de production et de vente d’électricité ou d’énergie thermique, via le CAD notamment, ainsi que de valorisation des déchets verts (production de biogaz, de compost, de plaquettes de bois, etc.) représentent, en effet, près de la moitié du chiffre d’affaires de la société (cf. supra consid. 3.4). Lors des périodes 2016 à 2018, les revenus tirés de la vente d’énergie des incinérables ont avoisiné les 10 millions de francs ; le Thermoréseau a généré respectivement 6.7, 7.8 et 7.7 millions de francs (dont 4.6, 5.5, 1.6 millions de francs provenant de la vente d’électricité) ; les produits des secteurs déchets verts et méthanisables se sont situés entre 4.7 et 5.5 millions de francs (cf. supra let. D.b et les détails des taxations 2016 à 2018 auxquels la recourante se réfère elle-même [pièces 8 à 10 annexées au recours]). Il ressort au demeurant de sa comptabilité commerciale qu’à l’exception de l’année 2015, la recourante a, toutes activités confondues, dégagé des bénéfices (17'387 fr. en 2016, 46'201 fr. en 2017 et 77'781 fr. en 2018) qui, avant même d’être obligatoirement retraités fiscalement (cf. infra consid. 5), n’apparaissent pas modiques. Or, ces bénéfices n’ont pas pu résulter de son activité d’élimination des déchets urbains, dans la mesure où la recourante est, dans ce secteur et en sa qualité de délégataire d’une tâche publique de nature monopolistique, tenue de respecter les principes de la couverture des coûts et de l’équivalence, comme le rappelait expressément la décision d’exonération de l’ACI du 3 novembre 2008 (cf. également JANSEN, Loi sur la protection de l’environnement, 2010, n° 27 et 31 ad. art. 32a LPE).</w:t>
      </w:r>
    </w:p>
    <w:p>
      <w:r>
        <w:t>- 18 - Cela étant, les activités de production et de vente d’électricité ou d’énergie thermique ainsi que de valorisation des déchets verts ne peuvent plus être qualifiées de secondaires ou d’annexes. Or, ces activités s’inscrivent, comme on l’a vu, dans des domaines ouverts à la concurrence (la commercialisation d’énergie au sens large) et sont incontestablement orientées vers l’obtention d’un gain, du reste indispensable à la société, dans la mesure où celle-ci ne perçoit pas de subventions (à l’exception d’une subvention perçue pour la construction du réseau de distribution du CAD), de prêts ou de garanties de la part de ses collectivités publiques actionnaires et qu’elle s’emploie à offrir à ces dernières des tarifs stables pour l’élimination de leurs déchets. Quand bien même certaines d’entre elles ont été développées afin de se conformer à certaines exigences légales, les activités évoquées ci-dessus n’en revêtent pas moins un caractère lucratif. Au travers de ces secteurs, la recourante poursuit bel et bien des buts économiques (ou entrepreneuriaux selon la version allemande de l’art. 56 let. g 2ème phrase LIFD) qui, compte tenu de l’ampleur et de la proportion des chiffres d’affaires générés, ne justifient plus une exonération.</w:t>
      </w:r>
    </w:p>
    <w:p>
      <w:r>
        <w:rPr>
          <w:b/>
        </w:rPr>
        <w:t>E. 3.6</w:t>
      </w:r>
    </w:p>
    <w:p>
      <w:r>
        <w:t>Dans la ligne des constats qui précèdent, une exonération de la recourante apparaît incompatible avec le principe de neutralité concurrentielle. Contrairement à ce que soutient la recourante, la production et la vente d’électricité, le traitement et la valorisation de déchet verts pour des clients publics ou privés, comme la fourniture d’énergie thermique au travers d’un CAD sont, en effet, des activités soumises à concurrence. S’agissant des réseaux de CAD, la recourante le reconnaît d’ailleurs à demi-mot, lorsqu’elle explique avoir construit le Thermoréseau pour éviter un partenariat public-privé (en perdant de vue qu’en sa qualité de société anonyme, elle intervient comme partenaire privé aux côtés des communes de A _________ et de C _________). Cela ressort également du Rapport du Surveillant des prix du 6 juillet 2023, intitulé « Observation du marché des tarifs de chauffage à distance en Suisse » (https://www.preisueberwacher.admin.ch/pue/fr/home/themes/infrastructure/c hauffage-a-distance.html), selon lequel les réseaux de CAD, qui sont actuellement en plein essor (plus de 1000 en Suisse), se distinguent fortement non seulement en fonction des sources d’énergie utilisées, mais également par leurs formes d’entreprise et leurs propriétaires. Or, les acteurs privés qui, comme la recourante, agissent sur les marchés de production et de vente d’énergie thermique ou électrique, respectivement qui offrent des produits similaires à ceux issus du traitement des déchets verts, sont assujettis à l’impôt sur le bénéfice. Par rapport à ces acteurs et à tous ceux qui, dans la vente d’énergie et le traitement des déchets verts en particulier, s’acquittent de l’impôt sur le bénéfice, maintenir l’exonération fiscale de la recourante représenterait ainsi un</w:t>
      </w:r>
    </w:p>
    <w:p>
      <w:r>
        <w:t>- 19 - avantage injustifié, faussant clairement le jeu de la concurrence. Ce constat vaut nonobstant le fait que les bénéfices retirés dans ces secteurs d’activités soient réinvestis dans celui, de service public, lié à l’incinération des déchets urbains.</w:t>
      </w:r>
    </w:p>
    <w:p>
      <w:r>
        <w:rPr>
          <w:b/>
        </w:rPr>
        <w:t>E. 3.7</w:t>
      </w:r>
    </w:p>
    <w:p>
      <w:r>
        <w:t>Au surplus, l’on observera que la recourante ne sollicite pas une exonération partielle limitée à ce secteur de service public. Il convient à cet égard de relever que la méthode « Cost + » appliquée par la CIPM dans ses décisions de taxation initiales permettait d’aboutir indirectement à une exonération partielle (cf. supra lettre F). Une telle exonération partielle ne serait en tout état de cause pas envisageable ici en l’absence de comptabilité analytique durant les exercices litigieux (sur cette exigence, cf. consid.</w:t>
      </w:r>
    </w:p>
    <w:p>
      <w:r>
        <w:rPr>
          <w:b/>
        </w:rPr>
        <w:t>E. 3.8</w:t>
      </w:r>
    </w:p>
    <w:p>
      <w:r>
        <w:t>Au vu de ce qui précède, l’autorité attaquée n’a pas violé l’art. 56 let. g LIFD en refusant d’exonérer la recourante pour les périodes fiscales litigieuses. Les activités que la recourante a déployées doivent être qualifiées de lucratives au sens défini précédemment. Elles l’ont été sur des marchés potentiellement sujets à concurrence et revêtent une ampleur telle qu’elles n’apparaissent plus comme marginales ou secondaires par rapport au but de service public tenant dans l’incinération des déchets urbains ni, par conséquent, neutres d’un point de vue de la neutralité concurrentielle. Le grief tiré d’une violation de l’art. 56 let. g LIFD doit dès lors être rejeté.</w:t>
      </w:r>
    </w:p>
    <w:p>
      <w:r>
        <w:rPr>
          <w:b/>
        </w:rPr>
        <w:t>E. 4</w:t>
      </w:r>
    </w:p>
    <w:p>
      <w:r>
        <w:t>Dans un deuxième grief, la recourante invoque une violation du principe de l’égalité de traitement, arguant qu’elle serait la seule UIOM de Suisse à ne pas être exonérée de l’impôt sur le bénéfice. Le moyen relève en réalité du droit à l’égalité dans l’illégalité dans la mesure où, selon les développements du considérant 3 ci-dessus, le droit d’être exonérée d’impôt selon l’art. 56 let. g LIFD doit lui être dénié. La recourante se réfère dans ce contexte aux deux autres UIOMs du canton qui auraient été exonérées d’impôt durant les années litigieuses et qui, sur le plan de leurs activités et de leurs caractéristiques, se trouveraient dans des situations comparables à la sienne.</w:t>
      </w:r>
    </w:p>
    <w:p>
      <w:r>
        <w:rPr>
          <w:b/>
        </w:rPr>
        <w:t>E. 4.1</w:t>
      </w:r>
    </w:p>
    <w:p>
      <w:r>
        <w:t>Une décision viole le principe de l’égalité de traitement garanti par l’art. 8 al. 1 Cst. lorsqu’elle établit des distinctions juridiques qui ne se justifient par aucun motif</w:t>
      </w:r>
    </w:p>
    <w:p>
      <w:r>
        <w:t>- 20 -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142 I 195 consid. 6.1). Le principe de la légalité de l’activité administrative (cf. art. 5 al. 1 Cst.) prévaut en principe sur celui de l’égalité de traitement. En conséquence, le justiciable ne peut généralement pas se prétendre victime d’une inégalité devant la loi lorsque celle-ci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justiciable ne peut ainsi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w:t>
      </w:r>
    </w:p>
    <w:p>
      <w:r>
        <w:rPr>
          <w:b/>
        </w:rPr>
        <w:t>E. 4.2</w:t>
      </w:r>
    </w:p>
    <w:p>
      <w:r>
        <w:t>En l’espèce, l’on ne saurait d’emblée souscrire à l’affirmation selon laquelle toutes les UIOMs de Suisse seraient exonérées de l’impôt sur le bénéfice. La recourante se contente de produire un tableau ne provenant visiblement pas de sources officielles (pièce n° 16 annexée au recours) auquel l’on ne saurait attacher une quelconque valeur probante. Ce document n’en révèle pas moins que les UIOMs actives sur le territoire helvétique sont exploitées sous des formes juridiques très diverses, circonstances qui excluent toute comparaison. La recourante n’entreprend au surplus pas de démontrer ou d’offrir de prouver que les UIOMs listées dans son document exerceraient des activités économiques de même nature et de même ampleur que les siennes, ni qu’elles interviendraient sur les mêmes marchés, conditions nécessaires pour que le principe de l’égalité de traitement trouve application. Quoiqu’il en soit, il n’appartient pas aux autorités fiscales valaisannes, ni sur recours à la présente Cour, de s’assurer de la bonne application de l’art. 56 let. g LIFD à toutes les UIOMs de Suisse qui tomberaient sous le coup de cette disposition, cette mission de surveillance incombant prioritairement à l’AFC (cf. art. 102 al. 2 LIFD). Quant aux xxxx autres UIOMs exploitées dans le canton, le recourante se contente de décrire très succinctement leurs caractéristiques (cf. p. 16 du mémoire). Elle ne cherche nullement à établir qu’elles se trouveraient dans une situation concrètement comparable à la sienne sur les différents aspects évoqués plus haut. A cet égard, l’on relève que la recourante ne produit aucune pièce, à l’exception du tableau susvisé, et ne propose</w:t>
      </w:r>
    </w:p>
    <w:p>
      <w:r>
        <w:t>- 21 - aucun moyen de preuve afin d’étayer la thèse d’une inégalité de traitement. En revanche, plusieurs pièces figurant au dossier (cf. supra lettre G notamment) montrent que le SCC s’est bel et bien préoccupé du statut fiscal des UIOMs valaisannes évoquées par la recourante et qu’il suit étroitement le développement de leurs activités. Or, sous l’angle de l’art. 56 let. g LIFD et de la jurisprudence rappelée ci-dessus, les raisons pour lesquelles il a jusqu’ici maintenu leur exonération fiscale échappent à la critique. Pour la première, le SCC a en effet retenu que ses activités de vente d’électricité et de chaleur pouvaient être qualifiées de secondaires, compte tenu du chiffre d’affaires généré par celles-ci par rapport à celui résultant de l’incinération des déchets. Le SCC est parvenu à la même conclusion s’agissant des activités de production d’électricité et de vapeur que la seconde UIOM venait de débuter, déniant pour le surplus et à juste titre, la similitude des situations du moment où les autres activités de valorisation des déchets étaient exercées par des sociétés anonymes partenaires assujetties à l’impôt. Ces différences paraissent aptes à justifier le traitement fiscal différencié que le SCC a réservé jusqu’ici à ces xxxx autres UIOMs, sachant pour le reste que le service suit l’évolution de la situation.</w:t>
      </w:r>
    </w:p>
    <w:p>
      <w:r>
        <w:rPr>
          <w:b/>
        </w:rPr>
        <w:t>E. 4.3</w:t>
      </w:r>
    </w:p>
    <w:p>
      <w:r>
        <w:t>Il résulte de ce qui précède que la recourante ne peut rien tirer du droit à l’égalité dans l’illégalité. Son grief de violation du principe de l’égalité de traitement doit donc être écarté.</w:t>
      </w:r>
    </w:p>
    <w:p>
      <w:r>
        <w:rPr>
          <w:b/>
        </w:rPr>
        <w:t>E. 5</w:t>
      </w:r>
    </w:p>
    <w:p>
      <w:r>
        <w:t>Dans un dernier grief soulevé au regard de la conclusion subsidiaire du recours, X _________ SA reproche à la CIPM d’avoir réintégré au bénéfice imposable les réserves pour travaux futurs et les attributions au fonds de renouvellement (cf. supra G et H). Elle fait valoir que ces provisions sont justifiées par l’usage commercial dans la mesure où l’art. 32a LPE impose aux détenteurs d’UIOM de les prévoir en vue de garantir l’entretien des installations, leur assainissement, leur remplacement et leur adaptation aux exigences légales en matière de protection de l’environnement. Elle explique avoir créé ces provisions de manière anticipée en vue de financer de gros investissements de renouvellement à venir (dont en particulier le remplacement du plus ancien four devisé à quelque xxx fr.) et de garantir aux communes actionnaires des tarifs stables et compétitifs après la mise en service des nouvelles installations. Elle soutient au surplus qu’en 2018, une provision de 1'000'000 fr., créée dans le but d’assainir la caisse de pension de l’entreprise, a été réintégrée à tort au bénéfice imposable.</w:t>
      </w:r>
    </w:p>
    <w:p>
      <w:r>
        <w:rPr>
          <w:b/>
        </w:rPr>
        <w:t>E. 5.1</w:t>
      </w:r>
    </w:p>
    <w:p>
      <w:r>
        <w:t>L’art. 960e al. 2 CO prévoit que, lorsqu’en raison d’événements passés, il faut s’attendre à une perte d’avantages économiques pour l’entreprise lors d’exercices futurs, il y a lieu de constituer des provisions à charge du compte de résultat, à hauteur du</w:t>
      </w:r>
    </w:p>
    <w:p>
      <w:r>
        <w:t>- 22 - montant vraisemblablement nécessaire (al. 2). En outre, son alinéa 3 précise que des provisions peuvent être constituées notamment au titre de charges régulières découlant des obligations de garantie (ch. 1), de remise en état des immobilisations corporelles (ch. 2), de restructurations (ch. 3) et de mesures prises pour assurer la prospérité de l’entreprise à long terme (ch. 4). Il ressort de la formulation de l’art. 960e al. 2 et 3 CO (« il y a lieu » en opposition à « peuvent ») que les provisions relevant de l’alinéa 2 sont requises par le droit commercial, contrairement à celles mentionnées à l’alinéa 3 (arrêt du Tribunal fédéral 2C_487/2022 du 5 septembre 2023 consid. 4.3 et les références citées).</w:t>
      </w:r>
    </w:p>
    <w:p>
      <w:r>
        <w:rPr>
          <w:b/>
        </w:rPr>
        <w:t>E. 5.2</w:t>
      </w:r>
    </w:p>
    <w:p>
      <w:r>
        <w:t>Aux termes de l’art. 57 LIFD, l’impôt sur le bénéfice a pour objet le bénéfice net. Selon l’art. 58 al. 1 LIFD, le bénéfice net imposable comprend notamment le solde du compte de résultats ; (let. a), ainsi que tous les prélèvement opérés sur le résultat commercial avant le calcul du solde du compte de résultat, qui ne servent pas à couvrir des dépenses justifiées par l’usage commercial (let. b), dont les amortissements et les provisions qui ne sont pas justifiés par l’usage commercial (2ème tiret). De jurisprudence constante, il ressort des art. 57 et 58 LIFD que le droit fiscal renvoie au droit comptable pour déterminer le bénéfice net imposable et que les comptes établis conformément aux règles du droit comptable lient les autorités fiscales, à moins que les normes impératives du droit commercial ne soient violées ou que des normes fiscales correctrices ne l’exigent (ATF 147 II 209 consid. 3.1.1).</w:t>
      </w:r>
    </w:p>
    <w:p>
      <w:r>
        <w:rPr>
          <w:b/>
        </w:rPr>
        <w:t>E. 5.3</w:t>
      </w:r>
    </w:p>
    <w:p>
      <w:r>
        <w:t>Selon l’art. 63 al. 1 LIFD, des provisions peuvent être constituées à la charge du compte de résultat notamment pour les engagements de l’exercice dont le montant est encore indéterminé (let. a) et pour les autres risques de pertes imminentes durant l’exercice (let. c). D’après l’alinéa 2 de cette même disposition, les provisions qui ne se justifient plus sont ajoutées au bénéfice imposable. Pour être admise en droit fiscal, la provision doit donc avoir été dûment comptabilisée, être justifiée par l’usage commercial et porter sur des faits dont l’origine se déroule durant la période de calcul. Lorsque des provisions, qui ont été passées en charge du compte de résultat, ne sont pas admissibles, l’autorité fiscale est en droit de procéder à la dissolution de la provision. La dissolution a lieu lors de la période durant laquelle l’absence de justification commerciale de la réserve est constatée. La société contribuable supporte le fardeau de la preuve de la conformité à l’usage commercial. La question de savoir si une provision est justifiée par l’usage commercial doit être examinée sur la base de tous les éléments en présence à la lumière de la situation prévalant au moment où le bilan est établi. Le principe de périodicité interdit, de manière</w:t>
      </w:r>
    </w:p>
    <w:p>
      <w:r>
        <w:t>- 23 - générale, de réduire (artificiellement) le bénéfice imposable par le biais de provisions exagérées (arrêt du Tribunal fédéral 9C_192/2024 du 3 juillet 2024 consid. 5.2.1 et les références). Les provisions pour les engagements (« Verpflichtungen ») de l’exercice au sens de l’art. 63 al. 1 let. a LIFD sont autorisées pour les engagements existant au cours de l’exercice et dont le montant n’est pas encore déterminé ; sont en particulier visés par cette disposition les engagements incertains ou des pertes imminentes résultant d’affaires en cours. Ceux-ci doivent pour le surplus reposer sur un contrat ou sur une loi. L’art. 63 al. 1 let. a LIFD couvre également les engagements conditionnels, pour autant que la réalisation de la condition soit très vraisemblable (arrêt 9C_192/2023 précité consid. 5.2.2 et les références). En outre, les provisions constituées en vue d’une utilisation future, notamment pour faire face à des dépenses que l’entreprise devra supporter en raison de son activité future représentent des réserves ; en tant que telles, elles font partie du revenu imposable et ne sauraient être déduites de ce dernier avant que la société n’ait à supporter les charges en cause, conformément au principe de périodicité du droit fiscal (ibidem). En résumé, les provisions exigées par l’art. 960e al. 2 sont justifiées commercialement et doivent être reconnues fiscalement (ATF 147 II 209 consid. 4.1), à l’inverse de celles susceptibles d’être comptabilisées en application de l’art. 960e al. 3 CO (DANON, in : AUBRY GIRARDIN/NOËL [édit.], Commentaire de la LIFD, 2ème éd. 2017, n° 12 ad art. 63 LIFD). Le cas de figure de l’art. 63 al. 1 let. c LIFD vise les risques de pertes qui ne reposent pas encore sur des engagements effectifs et qui ne concernent pas les actifs circulants. Leur prise en compte sur le plan fiscal est soumise à deux conditions. D’une part, le risque de pertes doit déjà avoir existé au cours de l’exercice lui-même, des provisions pour risques futurs ne sont pas admissibles. D’autre part, le risque doit être imminent. Le droit fiscal n’admet pas la constitution de réserves latentes par le biais de provisions, pourtant tolérées en droit des obligations et selon les usages du commerce. La constitution de provision à la charge du compte de résultat n’est possible que dans des limites relativement étroites et, du point de vue temporel, que si elle se trouve dans une relation claire de connexité avec l’exercice commercial en cause (arrêt 9C_192/2024 précité consid. 5.2.3).</w:t>
      </w:r>
    </w:p>
    <w:p>
      <w:r>
        <w:rPr>
          <w:b/>
        </w:rPr>
        <w:t>E. 5.4</w:t>
      </w:r>
    </w:p>
    <w:p>
      <w:r>
        <w:t>En l’espèce, les montants de 3'200'000 fr. et 3'300'000 fr. que l’autorité a réintégrés aux bénéfices imposables des exercices 2016, respectivement 2018, ont été « provisionnés » en vue de travaux ou de risques futurs. Cela ressort des explications fournies par la recourante en procédure de taxation (cf. supra lettre E.b.), comme de</w:t>
      </w:r>
    </w:p>
    <w:p>
      <w:r>
        <w:t>- 24 - l’intitulé des écritures en cause (par ex. [ _________ ]). Au stade du présent recours, la recourante ne démontre pas, ni ne prétend le contraire, admettant même expressément que ces « provisions ont été faites de manière anticipée et responsable afin de financer les gros investissements de renouvellement à venir » (recours p. 17). Constituées pour faire face à des dépenses auxquelles elle sera confrontée dans son activité future, ces « provisions » consistent typiquement dans des réserves latentes qui, en vertu du principe de périodicité de l’impôt ancré à l’art. 63 LIFD, ne sauraient être déduites du bénéfice imposable. Ces réserves ont certes été constituées afin que la recourante puisse poursuivre et développer ses activités dans le respect des prescriptions en matière de protection de l’environnement, mais les dispositions légales en cause, dont en particulier l’art. 32a LPE, ne lui imposaient pas pour autant de comptabiliser les montants litigieux en tant que provisions. Il ne s’agissait ainsi pas de provisions comptablement obligatoires au sens de l’art. 960e al. 2 CO, ce d’autant que la recourante n’expose pas quel événement passé aurait engendré un risque de pertes au sens exigé par cette disposition, ne prétend pas que ce risque de pertes était imminent au sens exigé par l’art. 63 al. 1 let. a LIFD, ni ne justifie l’ampleur des provisions comptabilisées. Les « provisions » litigieuses ont au contraire été constituées à des fins de remise en état d’immobilisations corporelles ou de mesures prises pour assurer la prospérité de l’entreprise à long terme au sens de l’art. 960e al. 3 CO, de sorte que, bien qu’admissibles d’un point de vue comptable, elles ne sont pas admises fiscalement. Quant à la provision de 1'000'000 fr. comptabilisée durant l’exercice 2018 pour l’assainissement ou un changement de caisse de pension, la recourante ne démontre nullement qu’elle serait justifiée par l’usage commercial. Elle se contente d’alléguer qu’il s’agissait d’un engagement envers la caisse de pension, laquelle présenterait un degré de sous-couverture et devrait être assainie. Dans la mesure où elle ne produit aucun élément pour établir un tant soit peu cet engagement ou un risque de pertes imminentes, la non admission de cette provision n’apparaît pas critiquable. Enfin, et bien que la recourante ne paraisse plus contester la dissolution des montants comptabilisés en 2017 et 2018 en tant qu’« Attribution au fonds de renouvellement », soit la réintégration dans ses bénéfices imposables des montants de 3'572'000 fr., respectivement 1'000'000 fr., l’on soulignera que les considérations qui précèdent peuvent leur être appliquées mutatis mutandis. S’agissant de réserves destinées à financer des travaux futurs, ces montants ne sont pas déductibles au plan fiscal.</w:t>
      </w:r>
    </w:p>
    <w:p>
      <w:r>
        <w:t>- 25 -</w:t>
      </w:r>
    </w:p>
    <w:p>
      <w:r>
        <w:rPr>
          <w:b/>
        </w:rPr>
        <w:t>E. 5.5</w:t>
      </w:r>
    </w:p>
    <w:p>
      <w:r>
        <w:t>Toutes les reprises résultant de la décision querellée doivent donc être confirmées et le grief y relatif rejeté en conséquence. III. Impôts cantonaux et communaux</w:t>
      </w:r>
    </w:p>
    <w:p>
      <w:r>
        <w:rPr>
          <w:b/>
        </w:rPr>
        <w:t>E. 6</w:t>
      </w:r>
    </w:p>
    <w:p>
      <w:r>
        <w:t>Les conditions de l'exonération fiscale pour les personnes morales qui poursuivent des buts de service public ou d'utilité publique sont les mêmes pour les impôts cantonaux et communaux que pour l'impôt fédéral (cf. art. 23 al. 1 let. f LHID ; art. 79 let. f et 176 LF ; arrêt du Tribunal fédéral 9C_674/2022 du 12 avril 2023 consid. 7.2). Partant, les motifs développés pour l’IFD (consid. 2 à 4) valent mutatis mutandis pour les ICC. Les griefs correspondants sont en conséquence rejetés. Les principes juridiques en matière de déduction des provisions rappelés ci-dessus trouvent leurs pendants en matière d’ICC aux art. 24 al. 4 et 10 al. 1 let. b LHID, respectivement 85 al. 1 et 25 LF. Il peut donc également être renvoyé, s’agissant des reprises contestées par la recourante, à la motivation développée en matière d’IFD. IV. Conclusion, frais et dépens</w:t>
      </w:r>
    </w:p>
    <w:p>
      <w:r>
        <w:rPr>
          <w:b/>
        </w:rPr>
        <w:t>E. 7</w:t>
      </w:r>
    </w:p>
    <w:p>
      <w:r>
        <w:t>Les considérants qui précèdent conduisent au rejet du recours, tant en matière d’IFD que d’ICC (art. 150 al. 3 LF ; art. 80 al. 1 let. e et 60 al. 1 LPJA).</w:t>
      </w:r>
    </w:p>
    <w:p>
      <w:r>
        <w:rPr>
          <w:b/>
        </w:rPr>
        <w:t>E. 8</w:t>
      </w:r>
    </w:p>
    <w:p>
      <w:r>
        <w:t>Vu l’issue du litige, les frais de la cause, fixés principalement sur le vu des principes de la couverture des frais et de l’équivalence des prestations, à 3500 fr., sont mis à la charge de la recourante, qui succombe et n’a pas droit à des dépens (art. 144 LIFD, art. 8 LALIFD ; art. 150 al. 3 LF ; art. 88 al. 2, 89 al. 1 LPJA, art. 64 al. 1 a contrario PA, art. 91 al. 1 a contrario LPJA ; art. 3 al. 3, 11, 13 al. 1 et 25 LTar).</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